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44"/>
        <w:gridCol w:w="3312"/>
      </w:tblGrid>
      <w:tr>
        <w:trPr>
          <w:cantSplit/>
        </w:trPr>
        <w:tc>
          <w:tcPr>
            <w:tcW w:type="dxa" w:w="5328"/>
            <w:shd w:fill="123047"/>
            <w:tcMar>
              <w:top w:w="10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20"/>
            </w:pPr>
            <w:r>
              <w:rPr>
                <w:b/>
                <w:color w:val="FFFFFF"/>
                <w:sz w:val="26"/>
              </w:rPr>
              <w:t>OPEYEMI O. AGBOOLA</w:t>
              <w:br/>
            </w:r>
            <w:r>
              <w:rPr>
                <w:b/>
                <w:color w:val="B7E2E0"/>
                <w:sz w:val="17"/>
              </w:rPr>
              <w:t>HEALTH DATA ANALYST  •  PUBLIC HEALTH RESEARCHER  •  ANALYTICS CONSULTANT</w:t>
            </w:r>
          </w:p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HEALTH DATA  •  RESEARCH  •  BUSINESS INTELLIGENCE  •  DECISION SUPPORT</w:t>
            </w:r>
          </w:p>
        </w:tc>
        <w:tc>
          <w:tcPr>
            <w:tcW w:type="dxa" w:w="5328"/>
            <w:shd w:fill="123047"/>
            <w:tcMar>
              <w:top w:w="10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Liberation Sans" w:hAnsi="Liberation Sans"/>
                <w:color w:val="FFFFFF"/>
                <w:sz w:val="17"/>
              </w:rPr>
              <w:t>Lagos, Nigeria</w:t>
              <w:br/>
            </w:r>
            <w:r>
              <w:rPr>
                <w:rFonts w:ascii="Liberation Sans" w:hAnsi="Liberation Sans"/>
                <w:color w:val="FFFFFF"/>
                <w:sz w:val="17"/>
              </w:rPr>
              <w:t>+234 810 492 3355</w:t>
              <w:br/>
            </w:r>
            <w:r>
              <w:rPr>
                <w:rFonts w:ascii="Liberation Sans" w:hAnsi="Liberation Sans"/>
                <w:color w:val="FFFFFF"/>
                <w:sz w:val="17"/>
              </w:rPr>
              <w:t>opeyemiagboola50@gmail.com</w:t>
              <w:br/>
            </w:r>
          </w:p>
          <w:p>
            <w:pPr>
              <w:spacing w:after="0"/>
              <w:jc w:val="right"/>
            </w:pPr>
            <w:hyperlink r:id="rId9">
              <w:r>
                <w:rPr>
                  <w:color w:val="A7E6E2"/>
                  <w:u w:val="single"/>
                  <w:sz w:val="16"/>
                </w:rPr>
                <w:t>Work Samples</w:t>
              </w:r>
            </w:hyperlink>
            <w:r>
              <w:rPr>
                <w:color w:val="A7E6E2"/>
                <w:sz w:val="16"/>
              </w:rPr>
              <w:t xml:space="preserve">   •   </w:t>
            </w:r>
            <w:hyperlink r:id="rId10">
              <w:r>
                <w:rPr>
                  <w:color w:val="A7E6E2"/>
                  <w:u w:val="single"/>
                  <w:sz w:val="16"/>
                </w:rPr>
                <w:t>GitHub Project</w:t>
              </w:r>
            </w:hyperlink>
          </w:p>
        </w:tc>
      </w:tr>
    </w:tbl>
    <w:p>
      <w:pPr>
        <w:pStyle w:val="CVSection"/>
        <w:keepNext/>
        <w:pBdr>
          <w:bottom w:val="single" w:sz="10" w:space="1" w:color="0B8F8A"/>
        </w:pBdr>
      </w:pPr>
      <w:r>
        <w:t>PROFILE</w:t>
      </w:r>
    </w:p>
    <w:p>
      <w:pPr>
        <w:spacing w:after="80" w:line="247" w:lineRule="auto"/>
      </w:pPr>
      <w:r>
        <w:t>Health data, research and analytics professional with experience turning complex quantitative, qualitative and operational evidence into decisions across public health, consulting and research settings. Works across the full evidence cycle - from research design, data cleaning and statistical analysis to dashboards, evaluation frameworks, insight synthesis and executive-ready reporting. Combines an MPH with a top-1% degree in Demography &amp; Social Statistics and hands-on use of R, SQL, Power BI, Stata, SPSS, Python and Excel. Comfortable moving between technical analysis, health-system questions and stakeholder-facing delivery.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rPr>
          <w:cantSplit/>
        </w:trPr>
        <w:tc>
          <w:tcPr>
            <w:tcW w:type="dxa" w:w="3528"/>
            <w:shd w:fill="EEF4F6"/>
            <w:tcMar>
              <w:top w:w="70" w:type="dxa"/>
              <w:start w:w="90" w:type="dxa"/>
              <w:bottom w:w="70" w:type="dxa"/>
              <w:end w:w="90" w:type="dxa"/>
            </w:tcMar>
            <w:tcBorders>
              <w:bottom w:val="single" w:sz="7" w:color="0B8F8A"/>
            </w:tcBorders>
          </w:tcPr>
          <w:p>
            <w:pPr>
              <w:spacing w:after="40"/>
            </w:pPr>
            <w:r>
              <w:rPr>
                <w:rFonts w:ascii="Liberation Sans" w:hAnsi="Liberation Sans"/>
                <w:b/>
                <w:color w:val="123047"/>
                <w:sz w:val="17"/>
              </w:rPr>
              <w:t>DATA &amp; BI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/>
                <w:color w:val="536777"/>
                <w:sz w:val="16"/>
              </w:rPr>
              <w:t>R • SQL • Power BI • Excel</w:t>
              <w:br/>
              <w:t>Python • Stata • SPSS</w:t>
              <w:br/>
              <w:t>Data cleaning • dashboards • QA</w:t>
            </w:r>
          </w:p>
        </w:tc>
        <w:tc>
          <w:tcPr>
            <w:tcW w:type="dxa" w:w="3528"/>
            <w:shd w:fill="EEF4F6"/>
            <w:tcMar>
              <w:top w:w="70" w:type="dxa"/>
              <w:start w:w="90" w:type="dxa"/>
              <w:bottom w:w="70" w:type="dxa"/>
              <w:end w:w="90" w:type="dxa"/>
            </w:tcMar>
            <w:tcBorders>
              <w:bottom w:val="single" w:sz="7" w:color="0B8F8A"/>
            </w:tcBorders>
          </w:tcPr>
          <w:p>
            <w:pPr>
              <w:spacing w:after="40"/>
            </w:pPr>
            <w:r>
              <w:rPr>
                <w:rFonts w:ascii="Liberation Sans" w:hAnsi="Liberation Sans"/>
                <w:b/>
                <w:color w:val="123047"/>
                <w:sz w:val="17"/>
              </w:rPr>
              <w:t>RESEARCH &amp; INSIGHTS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/>
                <w:color w:val="536777"/>
                <w:sz w:val="16"/>
              </w:rPr>
              <w:t>Quantitative &amp; mixed methods</w:t>
              <w:br/>
              <w:t>Survey design • sampling • synthesis</w:t>
              <w:br/>
              <w:t>Qualitative analysis • reporting</w:t>
            </w:r>
          </w:p>
        </w:tc>
        <w:tc>
          <w:tcPr>
            <w:tcW w:type="dxa" w:w="3528"/>
            <w:shd w:fill="EEF4F6"/>
            <w:tcMar>
              <w:top w:w="70" w:type="dxa"/>
              <w:start w:w="90" w:type="dxa"/>
              <w:bottom w:w="70" w:type="dxa"/>
              <w:end w:w="90" w:type="dxa"/>
            </w:tcMar>
            <w:tcBorders>
              <w:bottom w:val="single" w:sz="7" w:color="0B8F8A"/>
            </w:tcBorders>
          </w:tcPr>
          <w:p>
            <w:pPr>
              <w:spacing w:after="40"/>
            </w:pPr>
            <w:r>
              <w:rPr>
                <w:rFonts w:ascii="Liberation Sans" w:hAnsi="Liberation Sans"/>
                <w:b/>
                <w:color w:val="123047"/>
                <w:sz w:val="17"/>
              </w:rPr>
              <w:t>STRATEGY &amp; EVALUATION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/>
                <w:color w:val="536777"/>
                <w:sz w:val="16"/>
              </w:rPr>
              <w:t>MEL frameworks • indicators</w:t>
              <w:br/>
              <w:t>Process diagnostics • performance review</w:t>
              <w:br/>
              <w:t>Decision briefs • stakeholder facilitation</w:t>
            </w:r>
          </w:p>
        </w:tc>
      </w:tr>
    </w:tbl>
    <w:p>
      <w:pPr>
        <w:pStyle w:val="CVSection"/>
        <w:keepNext/>
        <w:pBdr>
          <w:bottom w:val="single" w:sz="10" w:space="1" w:color="0B8F8A"/>
        </w:pBdr>
      </w:pPr>
      <w:r>
        <w:t>PROFESSIONAL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064"/>
        <w:gridCol w:w="2448"/>
      </w:tblGrid>
      <w:tr>
        <w:trPr>
          <w:cantSplit/>
        </w:trPr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r>
              <w:t>Founder &amp; Lead Consultant</w:t>
            </w:r>
          </w:p>
        </w:tc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r>
              <w:t>2026 - Present</w:t>
            </w:r>
          </w:p>
        </w:tc>
      </w:tr>
    </w:tbl>
    <w:p>
      <w:pPr>
        <w:keepNext/>
        <w:spacing w:after="16"/>
      </w:pPr>
      <w:r>
        <w:t xml:space="preserve">ONE Light Analytics  |  Lagos, Nigeria / Remote  |  </w:t>
      </w:r>
      <w:hyperlink r:id="rId12">
        <w:r>
          <w:rPr>
            <w:color w:val="009C95"/>
            <w:u w:val="single"/>
          </w:rPr>
          <w:t>onelightanalytics.com</w:t>
        </w:r>
      </w:hyperlink>
    </w:p>
    <w:p>
      <w:pPr>
        <w:spacing w:after="16" w:line="240" w:lineRule="auto"/>
        <w:ind w:left="187" w:hanging="130"/>
      </w:pPr>
      <w:r>
        <w:t>•  Building an analytics and decision-intelligence consultancy that helps organisations translate commercial, operational and research data into stronger decisions, strategy and performance.</w:t>
      </w:r>
    </w:p>
    <w:p>
      <w:pPr>
        <w:spacing w:after="16" w:line="240" w:lineRule="auto"/>
        <w:ind w:left="187" w:hanging="130"/>
      </w:pPr>
      <w:r>
        <w:t>•  Lead analytical problem framing, research design, insight development and client-facing delivery across revenue intelligence, market growth, health data and other evidence-led business questions.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064"/>
        <w:gridCol w:w="2448"/>
      </w:tblGrid>
      <w:tr>
        <w:trPr>
          <w:cantSplit/>
        </w:trPr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pStyle w:val="CVRole"/>
              <w:keepNext/>
            </w:pPr>
            <w:r>
              <w:rPr>
                <w:rFonts w:ascii="Liberation Sans" w:hAnsi="Liberation Sans"/>
                <w:b/>
                <w:color w:val="1F2933"/>
                <w:sz w:val="19"/>
              </w:rPr>
              <w:t>Research &amp; Development Analyst</w:t>
            </w:r>
          </w:p>
        </w:tc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keepNext/>
              <w:jc w:val="right"/>
            </w:pPr>
            <w:r>
              <w:rPr>
                <w:rFonts w:ascii="Liberation Sans" w:hAnsi="Liberation Sans"/>
                <w:b/>
                <w:color w:val="536777"/>
                <w:sz w:val="17"/>
              </w:rPr>
              <w:t>2025 - 2026</w:t>
            </w:r>
          </w:p>
        </w:tc>
      </w:tr>
    </w:tbl>
    <w:p>
      <w:pPr>
        <w:keepNext/>
        <w:spacing w:after="16"/>
      </w:pPr>
      <w:r>
        <w:rPr>
          <w:rFonts w:ascii="Liberation Sans" w:hAnsi="Liberation Sans"/>
          <w:b/>
          <w:color w:val="0B8F8A"/>
          <w:sz w:val="18"/>
        </w:rPr>
        <w:t>Flinx Realty Ltd</w:t>
      </w:r>
      <w:r>
        <w:rPr>
          <w:rFonts w:ascii="Liberation Sans" w:hAnsi="Liberation Sans"/>
          <w:color w:val="536777"/>
          <w:sz w:val="17"/>
        </w:rPr>
        <w:t xml:space="preserve">  |  Lagos, Nigeria / Hybrid</w:t>
      </w:r>
    </w:p>
    <w:p>
      <w:pPr>
        <w:spacing w:after="16" w:line="240" w:lineRule="auto"/>
        <w:ind w:left="187" w:hanging="130"/>
      </w:pPr>
      <w:r>
        <w:rPr>
          <w:b/>
          <w:color w:val="0B8F8A"/>
          <w:sz w:val="17"/>
        </w:rPr>
        <w:t xml:space="preserve">•  </w:t>
      </w:r>
      <w:r>
        <w:rPr>
          <w:rFonts w:ascii="Liberation Sans" w:hAnsi="Liberation Sans"/>
          <w:color w:val="1F2933"/>
          <w:sz w:val="17"/>
        </w:rPr>
        <w:t>Led a mixed-methods organisational study to diagnose process gaps and convert findings into a practical standardisation roadmap for management.</w:t>
      </w:r>
    </w:p>
    <w:p>
      <w:pPr>
        <w:spacing w:after="16" w:line="240" w:lineRule="auto"/>
        <w:ind w:left="187" w:hanging="130"/>
      </w:pPr>
      <w:r>
        <w:rPr>
          <w:b/>
          <w:color w:val="0B8F8A"/>
          <w:sz w:val="17"/>
        </w:rPr>
        <w:t xml:space="preserve">•  </w:t>
      </w:r>
      <w:r>
        <w:rPr>
          <w:rFonts w:ascii="Liberation Sans" w:hAnsi="Liberation Sans"/>
          <w:color w:val="1F2933"/>
          <w:sz w:val="17"/>
        </w:rPr>
        <w:t>Designed a monitoring, evaluation and learning framework for tracking recommendations, performance and implementation across business units; also supported evidence-led operating model improvements.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064"/>
        <w:gridCol w:w="2448"/>
      </w:tblGrid>
      <w:tr>
        <w:trPr>
          <w:cantSplit/>
        </w:trPr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pStyle w:val="CVRole"/>
              <w:keepNext/>
            </w:pPr>
            <w:r>
              <w:rPr>
                <w:rFonts w:ascii="Liberation Sans" w:hAnsi="Liberation Sans"/>
                <w:b/>
                <w:color w:val="1F2933"/>
                <w:sz w:val="19"/>
              </w:rPr>
              <w:t>Public Health Volunteer - Research &amp; Analytics Support</w:t>
            </w:r>
          </w:p>
        </w:tc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keepNext/>
              <w:jc w:val="right"/>
            </w:pPr>
            <w:r>
              <w:rPr>
                <w:rFonts w:ascii="Liberation Sans" w:hAnsi="Liberation Sans"/>
                <w:b/>
                <w:color w:val="536777"/>
                <w:sz w:val="17"/>
              </w:rPr>
              <w:t>2025 - 2026</w:t>
            </w:r>
          </w:p>
        </w:tc>
      </w:tr>
    </w:tbl>
    <w:p>
      <w:pPr>
        <w:keepNext/>
        <w:spacing w:after="16"/>
      </w:pPr>
      <w:r>
        <w:rPr>
          <w:rFonts w:ascii="Liberation Sans" w:hAnsi="Liberation Sans"/>
          <w:b/>
          <w:color w:val="0B8F8A"/>
          <w:sz w:val="18"/>
        </w:rPr>
        <w:t>eHealth4everyone</w:t>
      </w:r>
      <w:r>
        <w:rPr>
          <w:rFonts w:ascii="Liberation Sans" w:hAnsi="Liberation Sans"/>
          <w:color w:val="536777"/>
          <w:sz w:val="17"/>
        </w:rPr>
        <w:t xml:space="preserve">  |  Remote</w:t>
      </w:r>
    </w:p>
    <w:p>
      <w:pPr>
        <w:spacing w:after="16" w:line="240" w:lineRule="auto"/>
        <w:ind w:left="187" w:hanging="130"/>
      </w:pPr>
      <w:r>
        <w:rPr>
          <w:b/>
          <w:color w:val="0B8F8A"/>
          <w:sz w:val="17"/>
        </w:rPr>
        <w:t xml:space="preserve">•  </w:t>
      </w:r>
      <w:r>
        <w:rPr>
          <w:rFonts w:ascii="Liberation Sans" w:hAnsi="Liberation Sans"/>
          <w:color w:val="1F2933"/>
          <w:sz w:val="17"/>
        </w:rPr>
        <w:t>Worked with public health and analytics teams on health-system intelligence, including MSDAT and secondary health data used for programme planning and decision-making.</w:t>
      </w:r>
    </w:p>
    <w:p>
      <w:pPr>
        <w:spacing w:after="16" w:line="240" w:lineRule="auto"/>
        <w:ind w:left="187" w:hanging="130"/>
      </w:pPr>
      <w:r>
        <w:rPr>
          <w:b/>
          <w:color w:val="0B8F8A"/>
          <w:sz w:val="17"/>
        </w:rPr>
        <w:t xml:space="preserve">•  </w:t>
      </w:r>
      <w:r>
        <w:rPr>
          <w:rFonts w:ascii="Liberation Sans" w:hAnsi="Liberation Sans"/>
          <w:color w:val="1F2933"/>
          <w:sz w:val="17"/>
        </w:rPr>
        <w:t>Conducted secondary analyses, literature reviews and monitoring support for digital-health interventions, converting evidence into concise reports and policy-facing outputs.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064"/>
        <w:gridCol w:w="2448"/>
      </w:tblGrid>
      <w:tr>
        <w:trPr>
          <w:cantSplit/>
        </w:trPr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pStyle w:val="CVRole"/>
              <w:keepNext/>
            </w:pPr>
            <w:r>
              <w:rPr>
                <w:rFonts w:ascii="Liberation Sans" w:hAnsi="Liberation Sans"/>
                <w:b/>
                <w:color w:val="1F2933"/>
                <w:sz w:val="19"/>
              </w:rPr>
              <w:t>Research Analyst</w:t>
            </w:r>
          </w:p>
        </w:tc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keepNext/>
              <w:jc w:val="right"/>
            </w:pPr>
            <w:r>
              <w:rPr>
                <w:rFonts w:ascii="Liberation Sans" w:hAnsi="Liberation Sans"/>
                <w:b/>
                <w:color w:val="536777"/>
                <w:sz w:val="17"/>
              </w:rPr>
              <w:t>Apr 2024 - Apr 2025</w:t>
            </w:r>
          </w:p>
        </w:tc>
      </w:tr>
    </w:tbl>
    <w:p>
      <w:pPr>
        <w:keepNext/>
        <w:spacing w:after="16"/>
      </w:pPr>
      <w:r>
        <w:rPr>
          <w:rFonts w:ascii="Liberation Sans" w:hAnsi="Liberation Sans"/>
          <w:b/>
          <w:color w:val="0B8F8A"/>
          <w:sz w:val="18"/>
        </w:rPr>
        <w:t>NorthStar Insights</w:t>
      </w:r>
      <w:r>
        <w:rPr>
          <w:rFonts w:ascii="Liberation Sans" w:hAnsi="Liberation Sans"/>
          <w:color w:val="536777"/>
          <w:sz w:val="17"/>
        </w:rPr>
        <w:t xml:space="preserve">  |  Remote</w:t>
      </w:r>
    </w:p>
    <w:p>
      <w:pPr>
        <w:spacing w:after="16" w:line="240" w:lineRule="auto"/>
        <w:ind w:left="187" w:hanging="130"/>
      </w:pPr>
      <w:r>
        <w:rPr>
          <w:b/>
          <w:color w:val="0B8F8A"/>
          <w:sz w:val="17"/>
        </w:rPr>
        <w:t xml:space="preserve">•  </w:t>
      </w:r>
      <w:r>
        <w:rPr>
          <w:rFonts w:ascii="Liberation Sans" w:hAnsi="Liberation Sans"/>
          <w:color w:val="1F2933"/>
          <w:sz w:val="17"/>
        </w:rPr>
        <w:t>Developed and reviewed research proposals, analysis plans and mixed-methods studies for client assignments, combining quantitative and qualitative evidence to answer business and social research questions.</w:t>
      </w:r>
    </w:p>
    <w:p>
      <w:pPr>
        <w:spacing w:after="16" w:line="240" w:lineRule="auto"/>
        <w:ind w:left="187" w:hanging="130"/>
      </w:pPr>
      <w:r>
        <w:rPr>
          <w:b/>
          <w:color w:val="0B8F8A"/>
          <w:sz w:val="17"/>
        </w:rPr>
        <w:t xml:space="preserve">•  </w:t>
      </w:r>
      <w:r>
        <w:rPr>
          <w:rFonts w:ascii="Liberation Sans" w:hAnsi="Liberation Sans"/>
          <w:color w:val="1F2933"/>
          <w:sz w:val="17"/>
        </w:rPr>
        <w:t>Translated findings into decision-focused reports and presentations, supported project delivery from scoping through final output, and guided colleagues on research methods and analysis.</w:t>
      </w:r>
    </w:p>
    <w:p>
      <w:r>
        <w:br w:type="page"/>
      </w:r>
    </w:p>
    <w:p>
      <w:pPr>
        <w:pStyle w:val="CVSection"/>
        <w:keepNext/>
        <w:pBdr>
          <w:bottom w:val="single" w:sz="10" w:space="1" w:color="0B8F8A"/>
        </w:pBdr>
      </w:pPr>
      <w:r>
        <w:t>CONSULTING, RESEARCH &amp; EVALUATION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064"/>
        <w:gridCol w:w="2448"/>
      </w:tblGrid>
      <w:tr>
        <w:trPr>
          <w:cantSplit/>
        </w:trPr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pStyle w:val="CVRole"/>
              <w:keepNext/>
            </w:pPr>
            <w:r>
              <w:rPr>
                <w:rFonts w:ascii="Liberation Sans" w:hAnsi="Liberation Sans"/>
                <w:b/>
                <w:color w:val="1F2933"/>
                <w:sz w:val="19"/>
              </w:rPr>
              <w:t>Consultant - Lagos State AOP Design &amp; PHC Support</w:t>
            </w:r>
          </w:p>
        </w:tc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keepNext/>
              <w:jc w:val="right"/>
            </w:pPr>
            <w:r>
              <w:rPr>
                <w:rFonts w:ascii="Liberation Sans" w:hAnsi="Liberation Sans"/>
                <w:b/>
                <w:color w:val="536777"/>
                <w:sz w:val="17"/>
              </w:rPr>
              <w:t>Dec 2024</w:t>
            </w:r>
          </w:p>
        </w:tc>
      </w:tr>
    </w:tbl>
    <w:p>
      <w:pPr>
        <w:keepNext/>
        <w:spacing w:after="16"/>
      </w:pPr>
      <w:r>
        <w:rPr>
          <w:rFonts w:ascii="Liberation Sans" w:hAnsi="Liberation Sans"/>
          <w:b/>
          <w:color w:val="0B8F8A"/>
          <w:sz w:val="18"/>
        </w:rPr>
        <w:t>SANHDEF</w:t>
      </w:r>
      <w:r>
        <w:rPr>
          <w:rFonts w:ascii="Liberation Sans" w:hAnsi="Liberation Sans"/>
          <w:color w:val="536777"/>
          <w:sz w:val="17"/>
        </w:rPr>
        <w:t xml:space="preserve">  |  Lagos, Nigeria</w:t>
      </w:r>
    </w:p>
    <w:p>
      <w:pPr>
        <w:spacing w:after="16" w:line="240" w:lineRule="auto"/>
        <w:ind w:left="187" w:hanging="130"/>
      </w:pPr>
      <w:r>
        <w:rPr>
          <w:b/>
          <w:color w:val="0B8F8A"/>
          <w:sz w:val="17"/>
        </w:rPr>
        <w:t xml:space="preserve">•  </w:t>
      </w:r>
      <w:r>
        <w:rPr>
          <w:rFonts w:ascii="Liberation Sans" w:hAnsi="Liberation Sans"/>
          <w:color w:val="1F2933"/>
          <w:sz w:val="17"/>
        </w:rPr>
        <w:t>Facilitated Annual Operational Planning support for 250 participants from 50 health-facility planning cells, including facility leads, M&amp;E officers and administrative staff.</w:t>
      </w:r>
    </w:p>
    <w:p>
      <w:pPr>
        <w:spacing w:after="16" w:line="240" w:lineRule="auto"/>
        <w:ind w:left="187" w:hanging="130"/>
      </w:pPr>
      <w:r>
        <w:rPr>
          <w:b/>
          <w:color w:val="0B8F8A"/>
          <w:sz w:val="17"/>
        </w:rPr>
        <w:t xml:space="preserve">•  </w:t>
      </w:r>
      <w:r>
        <w:rPr>
          <w:rFonts w:ascii="Liberation Sans" w:hAnsi="Liberation Sans"/>
          <w:color w:val="1F2933"/>
          <w:sz w:val="17"/>
        </w:rPr>
        <w:t>Reviewed activity plans, timelines and budget inputs and worked with senior consultants to strengthen consistency, completeness and operational usefulness.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064"/>
        <w:gridCol w:w="2448"/>
      </w:tblGrid>
      <w:tr>
        <w:trPr>
          <w:cantSplit/>
        </w:trPr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pStyle w:val="CVRole"/>
              <w:keepNext/>
            </w:pPr>
            <w:r>
              <w:rPr>
                <w:rFonts w:ascii="Liberation Sans" w:hAnsi="Liberation Sans"/>
                <w:b/>
                <w:color w:val="1F2933"/>
                <w:sz w:val="19"/>
              </w:rPr>
              <w:t>Statistician / Monitoring &amp; Evaluation Officer (Ad hoc)</w:t>
            </w:r>
          </w:p>
        </w:tc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keepNext/>
              <w:jc w:val="right"/>
            </w:pPr>
            <w:r>
              <w:rPr>
                <w:rFonts w:ascii="Liberation Sans" w:hAnsi="Liberation Sans"/>
                <w:b/>
                <w:color w:val="536777"/>
                <w:sz w:val="17"/>
              </w:rPr>
              <w:t>Jan - Jul 2023</w:t>
            </w:r>
          </w:p>
        </w:tc>
      </w:tr>
    </w:tbl>
    <w:p>
      <w:pPr>
        <w:keepNext/>
        <w:spacing w:after="16"/>
      </w:pPr>
      <w:r>
        <w:rPr>
          <w:rFonts w:ascii="Liberation Sans" w:hAnsi="Liberation Sans"/>
          <w:b/>
          <w:color w:val="0B8F8A"/>
          <w:sz w:val="18"/>
        </w:rPr>
        <w:t>Women's Health and Action Research Centre (WHARC)</w:t>
      </w:r>
      <w:r>
        <w:rPr>
          <w:rFonts w:ascii="Liberation Sans" w:hAnsi="Liberation Sans"/>
          <w:color w:val="536777"/>
          <w:sz w:val="17"/>
        </w:rPr>
        <w:t xml:space="preserve">  |  Nigeria</w:t>
      </w:r>
    </w:p>
    <w:p>
      <w:pPr>
        <w:spacing w:after="16" w:line="240" w:lineRule="auto"/>
        <w:ind w:left="187" w:hanging="130"/>
      </w:pPr>
      <w:r>
        <w:rPr>
          <w:b/>
          <w:color w:val="0B8F8A"/>
          <w:sz w:val="17"/>
        </w:rPr>
        <w:t xml:space="preserve">•  </w:t>
      </w:r>
      <w:r>
        <w:rPr>
          <w:rFonts w:ascii="Liberation Sans" w:hAnsi="Liberation Sans"/>
          <w:color w:val="1F2933"/>
          <w:sz w:val="17"/>
        </w:rPr>
        <w:t>Supported the design of a funded study on gender inequality and sexual and reproductive health, including sample-size planning and quantitative/qualitative sampling considerations.</w:t>
      </w:r>
    </w:p>
    <w:p>
      <w:pPr>
        <w:spacing w:after="16" w:line="240" w:lineRule="auto"/>
        <w:ind w:left="187" w:hanging="130"/>
      </w:pPr>
      <w:r>
        <w:rPr>
          <w:b/>
          <w:color w:val="0B8F8A"/>
          <w:sz w:val="17"/>
        </w:rPr>
        <w:t xml:space="preserve">•  </w:t>
      </w:r>
      <w:r>
        <w:rPr>
          <w:rFonts w:ascii="Liberation Sans" w:hAnsi="Liberation Sans"/>
          <w:color w:val="1F2933"/>
          <w:sz w:val="17"/>
        </w:rPr>
        <w:t>Contributed to field monitoring, research documentation, data-quality oversight, analysis and dissemination from study design through reporting.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064"/>
        <w:gridCol w:w="2448"/>
      </w:tblGrid>
      <w:tr>
        <w:trPr>
          <w:cantSplit/>
        </w:trPr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pStyle w:val="CVRole"/>
              <w:keepNext/>
            </w:pPr>
            <w:r>
              <w:rPr>
                <w:rFonts w:ascii="Liberation Sans" w:hAnsi="Liberation Sans"/>
                <w:b/>
                <w:color w:val="1F2933"/>
                <w:sz w:val="19"/>
              </w:rPr>
              <w:t>Remote Research Assistant (Volunteer)</w:t>
            </w:r>
          </w:p>
        </w:tc>
        <w:tc>
          <w:tcPr>
            <w:tcW w:type="dxa" w:w="532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keepNext/>
              <w:jc w:val="right"/>
            </w:pPr>
            <w:r>
              <w:rPr>
                <w:rFonts w:ascii="Liberation Sans" w:hAnsi="Liberation Sans"/>
                <w:b/>
                <w:color w:val="536777"/>
                <w:sz w:val="17"/>
              </w:rPr>
              <w:t>May 2022 - Dec 2023</w:t>
            </w:r>
          </w:p>
        </w:tc>
      </w:tr>
    </w:tbl>
    <w:p>
      <w:pPr>
        <w:keepNext/>
        <w:spacing w:after="16"/>
      </w:pPr>
      <w:r>
        <w:rPr>
          <w:rFonts w:ascii="Liberation Sans" w:hAnsi="Liberation Sans"/>
          <w:b/>
          <w:color w:val="0B8F8A"/>
          <w:sz w:val="18"/>
        </w:rPr>
        <w:t>Federal University Oye-Ekiti</w:t>
      </w:r>
      <w:r>
        <w:rPr>
          <w:rFonts w:ascii="Liberation Sans" w:hAnsi="Liberation Sans"/>
          <w:color w:val="536777"/>
          <w:sz w:val="17"/>
        </w:rPr>
        <w:t xml:space="preserve">  |  Remote</w:t>
      </w:r>
    </w:p>
    <w:p>
      <w:pPr>
        <w:spacing w:after="16" w:line="240" w:lineRule="auto"/>
        <w:ind w:left="187" w:hanging="130"/>
      </w:pPr>
      <w:r>
        <w:rPr>
          <w:b/>
          <w:color w:val="0B8F8A"/>
          <w:sz w:val="17"/>
        </w:rPr>
        <w:t xml:space="preserve">•  </w:t>
      </w:r>
      <w:r>
        <w:rPr>
          <w:rFonts w:ascii="Liberation Sans" w:hAnsi="Liberation Sans"/>
          <w:color w:val="1F2933"/>
          <w:sz w:val="17"/>
        </w:rPr>
        <w:t>Supported pilot studies, qualitative analysis, literature reviews and secondary analysis of population and health datasets, including Demographic and Health Survey data.</w:t>
      </w:r>
    </w:p>
    <w:p>
      <w:pPr>
        <w:spacing w:after="16" w:line="240" w:lineRule="auto"/>
        <w:ind w:left="187" w:hanging="130"/>
      </w:pPr>
      <w:r>
        <w:rPr>
          <w:b/>
          <w:color w:val="0B8F8A"/>
          <w:sz w:val="17"/>
        </w:rPr>
        <w:t xml:space="preserve">•  </w:t>
      </w:r>
      <w:r>
        <w:rPr>
          <w:rFonts w:ascii="Liberation Sans" w:hAnsi="Liberation Sans"/>
          <w:color w:val="1F2933"/>
          <w:sz w:val="17"/>
        </w:rPr>
        <w:t>Contributed to data preparation, evidence synthesis, manuscript writing and research documentation.</w:t>
      </w:r>
    </w:p>
    <w:p>
      <w:pPr>
        <w:pStyle w:val="CVSection"/>
        <w:keepNext/>
        <w:pBdr>
          <w:bottom w:val="single" w:sz="10" w:space="1" w:color="0B8F8A"/>
        </w:pBdr>
      </w:pPr>
      <w:r>
        <w:t>SELECTED ANALYTICS PROJECT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0"/>
        <w:gridCol w:w="1800"/>
      </w:tblGrid>
      <w:tr>
        <w:trPr>
          <w:cantSplit/>
        </w:trPr>
        <w:tc>
          <w:tcPr>
            <w:tcW w:type="dxa" w:w="5328"/>
            <w:shd w:fill="EEF4F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40"/>
            </w:pPr>
            <w:r>
              <w:t>Maternal Continuum of Care in Nigeria</w:t>
            </w:r>
          </w:p>
          <w:p>
            <w:pPr>
              <w:spacing w:after="40" w:line="247" w:lineRule="auto"/>
            </w:pPr>
            <w:r>
              <w:rPr>
                <w:rFonts w:ascii="Liberation Sans" w:hAnsi="Liberation Sans"/>
                <w:color w:val="1F2933"/>
                <w:sz w:val="17"/>
              </w:rPr>
              <w:t>End-to-end analytics project using SQL, R and Power BI to examine movement across the maternal care pathway, identify where service use falls between stages of care, and translate the findings into technical and policy-facing reporting.</w:t>
            </w:r>
          </w:p>
          <w:p>
            <w:pPr>
              <w:spacing w:after="0"/>
            </w:pPr>
            <w:hyperlink r:id="rId10">
              <w:r>
                <w:rPr>
                  <w:color w:val="0B8F8A"/>
                  <w:u w:val="single"/>
                  <w:b/>
                  <w:sz w:val="17"/>
                </w:rPr>
                <w:t>View GitHub repository</w:t>
              </w:r>
            </w:hyperlink>
          </w:p>
        </w:tc>
        <w:tc>
          <w:tcPr>
            <w:tcW w:type="dxa" w:w="5328"/>
            <w:shd w:fill="EEF4F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2026</w:t>
              <w:br/>
              <w:t>COMPLETED</w:t>
            </w:r>
          </w:p>
        </w:tc>
      </w:tr>
    </w:tbl>
    <w:p>
      <w:pPr>
        <w:pStyle w:val="CVSection"/>
        <w:keepNext/>
        <w:pBdr>
          <w:bottom w:val="single" w:sz="10" w:space="1" w:color="0B8F8A"/>
        </w:pBdr>
      </w:pPr>
      <w:r>
        <w:t>EDUCATION &amp; CURRENT FOCUS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64"/>
        <w:gridCol w:w="4176"/>
      </w:tblGrid>
      <w:tr>
        <w:trPr>
          <w:cantSplit/>
        </w:trPr>
        <w:tc>
          <w:tcPr>
            <w:tcW w:type="dxa" w:w="5328"/>
            <w:tcMar>
              <w:top w:w="0" w:type="dxa"/>
              <w:start w:w="0" w:type="dxa"/>
              <w:bottom w:w="0" w:type="dxa"/>
              <w:end w:w="90" w:type="dxa"/>
            </w:tcMar>
          </w:tcPr>
          <w:p>
            <w:r>
              <w:t>EDUCATION</w:t>
              <w:br/>
              <w:t>Master of Public Health (MPH)</w:t>
              <w:br/>
              <w:t>Babcock University, Ilishan-Remo, Nigeria  |  2024 - 2026</w:t>
              <w:br/>
              <w:br/>
              <w:t>B.Sc. (Hons) Demography &amp; Social Statistics (Top 1%)</w:t>
              <w:br/>
              <w:t>Federal University Oye-Ekiti, Nigeria  |  2023</w:t>
              <w:br/>
              <w:br/>
              <w:t>CURRENT FOCUS</w:t>
              <w:br/>
              <w:t>•  Maternal continuum-of-care and health-service pathway analytics.</w:t>
              <w:br/>
              <w:t>•  Hospital quality, health systems, population health and health inequality.</w:t>
              <w:br/>
              <w:t>•  Decision intelligence, dashboards and evidence products for management and programme action.</w:t>
            </w:r>
          </w:p>
        </w:tc>
        <w:tc>
          <w:tcPr>
            <w:tcW w:type="dxa" w:w="5328"/>
            <w:tcMar>
              <w:top w:w="0" w:type="dxa"/>
              <w:start w:w="0" w:type="dxa"/>
              <w:bottom w:w="0" w:type="dxa"/>
              <w:end w:w="90" w:type="dxa"/>
            </w:tcMar>
          </w:tcPr>
          <w:p>
            <w:pPr>
              <w:spacing w:after="20"/>
            </w:pPr>
            <w:r>
              <w:rPr>
                <w:rFonts w:ascii="Liberation Sans" w:hAnsi="Liberation Sans"/>
                <w:b/>
                <w:color w:val="123047"/>
                <w:sz w:val="18"/>
              </w:rPr>
              <w:t>METHODS &amp; TOOLS</w:t>
            </w:r>
          </w:p>
          <w:p>
            <w:pPr>
              <w:spacing w:before="20" w:after="0"/>
            </w:pPr>
            <w:r>
              <w:rPr>
                <w:rFonts w:ascii="Liberation Sans" w:hAnsi="Liberation Sans"/>
                <w:b/>
                <w:color w:val="0B8F8A"/>
                <w:sz w:val="15"/>
              </w:rPr>
              <w:t>ANALYSIS</w:t>
            </w:r>
          </w:p>
          <w:p>
            <w:pPr>
              <w:spacing w:after="24" w:line="240" w:lineRule="auto"/>
            </w:pPr>
            <w:r>
              <w:rPr>
                <w:rFonts w:ascii="Liberation Sans" w:hAnsi="Liberation Sans"/>
                <w:color w:val="536777"/>
                <w:sz w:val="16"/>
              </w:rPr>
              <w:t>R • SQL • Python • Stata • SPSS • Excel</w:t>
            </w:r>
          </w:p>
          <w:p>
            <w:pPr>
              <w:spacing w:before="20" w:after="0"/>
            </w:pPr>
            <w:r>
              <w:rPr>
                <w:rFonts w:ascii="Liberation Sans" w:hAnsi="Liberation Sans"/>
                <w:b/>
                <w:color w:val="0B8F8A"/>
                <w:sz w:val="15"/>
              </w:rPr>
              <w:t>VISUALISATION</w:t>
            </w:r>
          </w:p>
          <w:p>
            <w:pPr>
              <w:spacing w:after="24" w:line="240" w:lineRule="auto"/>
            </w:pPr>
            <w:r>
              <w:rPr>
                <w:rFonts w:ascii="Liberation Sans" w:hAnsi="Liberation Sans"/>
                <w:color w:val="536777"/>
                <w:sz w:val="16"/>
              </w:rPr>
              <w:t>Power BI • dashboards • decision reporting</w:t>
            </w:r>
          </w:p>
          <w:p>
            <w:pPr>
              <w:spacing w:before="20" w:after="0"/>
            </w:pPr>
            <w:r>
              <w:rPr>
                <w:rFonts w:ascii="Liberation Sans" w:hAnsi="Liberation Sans"/>
                <w:b/>
                <w:color w:val="0B8F8A"/>
                <w:sz w:val="15"/>
              </w:rPr>
              <w:t>RESEARCH</w:t>
            </w:r>
          </w:p>
          <w:p>
            <w:pPr>
              <w:spacing w:after="24" w:line="240" w:lineRule="auto"/>
            </w:pPr>
            <w:r>
              <w:rPr>
                <w:rFonts w:ascii="Liberation Sans" w:hAnsi="Liberation Sans"/>
                <w:color w:val="536777"/>
                <w:sz w:val="16"/>
              </w:rPr>
              <w:t>Mixed methods • surveys • sampling • sample-size planning • literature review • evidence synthesis</w:t>
            </w:r>
          </w:p>
          <w:p>
            <w:pPr>
              <w:spacing w:before="20" w:after="0"/>
            </w:pPr>
            <w:r>
              <w:rPr>
                <w:rFonts w:ascii="Liberation Sans" w:hAnsi="Liberation Sans"/>
                <w:b/>
                <w:color w:val="0B8F8A"/>
                <w:sz w:val="15"/>
              </w:rPr>
              <w:t>EVALUATION</w:t>
            </w:r>
          </w:p>
          <w:p>
            <w:pPr>
              <w:spacing w:after="24" w:line="240" w:lineRule="auto"/>
            </w:pPr>
            <w:r>
              <w:rPr>
                <w:rFonts w:ascii="Liberation Sans" w:hAnsi="Liberation Sans"/>
                <w:color w:val="536777"/>
                <w:sz w:val="16"/>
              </w:rPr>
              <w:t>MEL frameworks • indicators • data-quality review • learning and reporting</w:t>
            </w:r>
          </w:p>
          <w:p>
            <w:pPr>
              <w:spacing w:before="20" w:after="0"/>
            </w:pPr>
            <w:r>
              <w:rPr>
                <w:rFonts w:ascii="Liberation Sans" w:hAnsi="Liberation Sans"/>
                <w:b/>
                <w:color w:val="0B8F8A"/>
                <w:sz w:val="15"/>
              </w:rPr>
              <w:t>DATA COLLECTION</w:t>
            </w:r>
          </w:p>
          <w:p>
            <w:pPr>
              <w:spacing w:after="24" w:line="240" w:lineRule="auto"/>
            </w:pPr>
            <w:r>
              <w:rPr>
                <w:rFonts w:ascii="Liberation Sans" w:hAnsi="Liberation Sans"/>
                <w:color w:val="536777"/>
                <w:sz w:val="16"/>
              </w:rPr>
              <w:t>KoboToolbox • ODK • secondary health data • DHS</w:t>
            </w:r>
          </w:p>
          <w:p>
            <w:pPr>
              <w:spacing w:before="40" w:after="20"/>
            </w:pPr>
            <w:r>
              <w:rPr>
                <w:rFonts w:ascii="Liberation Sans" w:hAnsi="Liberation Sans"/>
                <w:b/>
                <w:color w:val="123047"/>
                <w:sz w:val="18"/>
              </w:rPr>
              <w:t>SELECTED LINKS</w:t>
            </w:r>
          </w:p>
          <w:p>
            <w:pPr>
              <w:spacing w:after="20"/>
            </w:pPr>
            <w:hyperlink r:id="rId9">
              <w:r>
                <w:rPr>
                  <w:color w:val="0B8F8A"/>
                  <w:u w:val="single"/>
                  <w:b/>
                  <w:sz w:val="16"/>
                </w:rPr>
                <w:t>Selected reports &amp; work samples</w:t>
              </w:r>
            </w:hyperlink>
          </w:p>
          <w:p>
            <w:pPr>
              <w:spacing w:after="40"/>
            </w:pPr>
            <w:hyperlink r:id="rId10">
              <w:r>
                <w:rPr>
                  <w:color w:val="0B8F8A"/>
                  <w:u w:val="single"/>
                  <w:b/>
                  <w:sz w:val="16"/>
                </w:rPr>
                <w:t>Maternal continuity analytics project</w:t>
              </w:r>
            </w:hyperlink>
          </w:p>
          <w:p>
            <w:pPr>
              <w:spacing w:before="40" w:after="0"/>
            </w:pPr>
            <w:r>
              <w:rPr>
                <w:rFonts w:ascii="Liberation Sans" w:hAnsi="Liberation Sans"/>
                <w:b/>
                <w:color w:val="123047"/>
                <w:sz w:val="18"/>
              </w:rPr>
              <w:t>ADDITIONAL</w:t>
            </w:r>
          </w:p>
          <w:p>
            <w:pPr>
              <w:spacing w:after="0"/>
            </w:pPr>
            <w:r>
              <w:rPr>
                <w:rFonts w:ascii="Liberation Sans" w:hAnsi="Liberation Sans"/>
                <w:color w:val="536777"/>
                <w:sz w:val="16"/>
              </w:rPr>
              <w:t>English: Fluent</w:t>
              <w:br/>
              <w:t>Future Africa Academy Data Science Program Scholarship, 2022</w:t>
            </w:r>
          </w:p>
        </w:tc>
      </w:tr>
    </w:tbl>
    <w:sectPr w:rsidR="00FC693F" w:rsidRPr="0006063C" w:rsidSect="00034616">
      <w:footerReference w:type="default" r:id="rId11"/>
      <w:pgSz w:w="12240" w:h="15840"/>
      <w:pgMar w:top="605" w:right="792" w:bottom="605" w:left="792" w:header="216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OPEYEMI O. AGBOOLA  |  HEALTH DATA • RESEARCH • DECISION INTELLIGENCE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6" w:line="240" w:lineRule="auto"/>
    </w:pPr>
    <w:rPr>
      <w:rFonts w:ascii="Liberation Sans" w:hAnsi="Liberation Sans"/>
      <w:color w:val="1F293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Section">
    <w:name w:val="CV Section"/>
    <w:pPr>
      <w:spacing w:before="120" w:after="40" w:line="240" w:lineRule="auto"/>
    </w:pPr>
    <w:rPr>
      <w:rFonts w:ascii="Liberation Sans" w:hAnsi="Liberation Sans"/>
      <w:b/>
      <w:color w:val="123047"/>
      <w:sz w:val="22"/>
    </w:rPr>
  </w:style>
  <w:style w:type="paragraph" w:customStyle="1" w:styleId="CVRole">
    <w:name w:val="CV Role"/>
    <w:pPr>
      <w:spacing w:before="0" w:after="0" w:line="240" w:lineRule="auto"/>
    </w:pPr>
    <w:rPr>
      <w:rFonts w:ascii="Liberation Sans" w:hAnsi="Liberation Sans"/>
      <w:b/>
      <w:color w:val="1F2933"/>
      <w:sz w:val="20"/>
    </w:rPr>
  </w:style>
  <w:style w:type="paragraph" w:customStyle="1" w:styleId="CVOrg">
    <w:name w:val="CV Org"/>
    <w:pPr>
      <w:spacing w:before="0" w:after="20" w:line="240" w:lineRule="auto"/>
    </w:pPr>
    <w:rPr>
      <w:rFonts w:ascii="Liberation Sans" w:hAnsi="Liberation Sans"/>
      <w:b/>
      <w:color w:val="0B8F8A"/>
      <w:sz w:val="18"/>
    </w:rPr>
  </w:style>
  <w:style w:type="paragraph" w:customStyle="1" w:styleId="CVSmall">
    <w:name w:val="CV Small"/>
    <w:pPr>
      <w:spacing w:before="0" w:after="0" w:line="240" w:lineRule="auto"/>
    </w:pPr>
    <w:rPr>
      <w:rFonts w:ascii="Liberation Sans" w:hAnsi="Liberation Sans"/>
      <w:b w:val="0"/>
      <w:color w:val="536777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rive.google.com/drive/folders/1p3GCSItfC3jY_owm8ovx6sR66HczF3BJ?usp=sharing" TargetMode="External"/><Relationship Id="rId10" Type="http://schemas.openxmlformats.org/officeDocument/2006/relationships/hyperlink" Target="https://github.com/opeyemiagboolabethel/maternal-continuum-nigeria-2024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onelightanalytic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Opeyemi Agboola - Data, Research &amp; Strategy CV</dc:title>
  <dc:subject>Cold outreach CV for analytics, research, consulting, BI and public health opportunities</dc:subject>
  <dc:creator>Opeyemi O. Agboola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